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Programma van eisen voor een overstap</w:t>
      </w:r>
    </w:p>
    <w:p>
      <w:r>
        <w:t>Een programma van eisen gaat vaak over functies. Dit deel gaat over de overstap zelf: hoe uw gegevens meegaan, hoe de declaraties doorlopen, hoe u bij het oude dossier blijft en hoe u er later weer uit komt. Vul het aan met uw eigen eisen voor zorg, planning en administratie.</w:t>
      </w:r>
    </w:p>
    <w:p>
      <w:r>
        <w:rPr>
          <w:i/>
          <w:color w:val="555F66"/>
        </w:rPr>
        <w:t>Opgesteld door Curanta, een leverancier van zorgsoftware, zo dat elke leverancier de eisen kan beantwoorden. Laat uw jurist of FG meekijken; dit is geen juridisch advies. Peildatum 21-10-2026. Online: curanta.nl/overstappen/programma-van-eisen.</w:t>
      </w:r>
    </w:p>
    <w:p>
      <w:pPr>
        <w:pStyle w:val="Heading2"/>
      </w:pPr>
      <w:r>
        <w:t>Hoe u dit gebruikt</w:t>
      </w:r>
    </w:p>
    <w:p>
      <w:pPr>
        <w:pStyle w:val="ListBullet"/>
      </w:pPr>
      <w:r>
        <w:t>Leg de eisen aan elke leverancier op uw shortlist voor, met dezelfde nummers.</w:t>
      </w:r>
    </w:p>
    <w:p>
      <w:pPr>
        <w:pStyle w:val="ListBullet"/>
      </w:pPr>
      <w:r>
        <w:t>Vraag per eis: voldoet het pakket (ja, deels, nee), en hoe. Vraag bij 'deels' en 'nee' wat de leverancier in plaats daarvan biedt.</w:t>
      </w:r>
    </w:p>
    <w:p>
      <w:pPr>
        <w:pStyle w:val="ListBullet"/>
      </w:pPr>
      <w:r>
        <w:t>Schrap wat voor uw organisatie niet geldt, en maak zichtbaar welke eisen voor u hard zijn.</w:t>
      </w:r>
    </w:p>
    <w:p>
      <w:pPr>
        <w:pStyle w:val="Heading1"/>
      </w:pPr>
      <w:r>
        <w:t>1. Overstap en migratie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680"/>
            <w:shd w:val="clear" w:color="auto" w:fill="E6F2F1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5102"/>
            <w:shd w:val="clear" w:color="auto" w:fill="E6F2F1"/>
          </w:tcPr>
          <w:p>
            <w:r/>
            <w:r>
              <w:rPr>
                <w:b/>
              </w:rPr>
              <w:t>Eis en waarom</w:t>
            </w:r>
          </w:p>
        </w:tc>
        <w:tc>
          <w:tcPr>
            <w:tcW w:type="dxa" w:w="1304"/>
            <w:shd w:val="clear" w:color="auto" w:fill="E6F2F1"/>
          </w:tcPr>
          <w:p>
            <w:r/>
            <w:r>
              <w:rPr>
                <w:b/>
              </w:rPr>
              <w:t>Voldoet</w:t>
            </w:r>
          </w:p>
        </w:tc>
        <w:tc>
          <w:tcPr>
            <w:tcW w:type="dxa" w:w="2551"/>
            <w:shd w:val="clear" w:color="auto" w:fill="E6F2F1"/>
          </w:tcPr>
          <w:p>
            <w:r/>
            <w:r>
              <w:rPr>
                <w:b/>
              </w:rPr>
              <w:t>Toelichting leverancier</w:t>
            </w:r>
          </w:p>
        </w:tc>
      </w:tr>
      <w:tr>
        <w:tc>
          <w:tcPr>
            <w:tcW w:type="dxa" w:w="680"/>
          </w:tcPr>
          <w:p>
            <w:r>
              <w:t>1.1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beschrijft schriftelijk welke gegevens uit ons huidige pakket overgaan (cliënten, zorgplannen, rapportages, indicaties, medewerkers, bestanden) en welke niet.</w:t>
            </w:r>
          </w:p>
          <w:p>
            <w:r>
              <w:rPr>
                <w:color w:val="555F66"/>
                <w:sz w:val="19"/>
              </w:rPr>
              <w:t>Wat niet meegaat, moet u op een andere manier bewaren of opnieuw invoeren.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1.2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zet de gegevens over. Zorgmedewerkers typen geen dossiers over, tenzij wij daar vooraf zelf voor kiezen.</w:t>
            </w:r>
          </w:p>
          <w:p>
            <w:r>
              <w:rPr>
                <w:color w:val="555F66"/>
                <w:sz w:val="19"/>
              </w:rPr>
              <w:t>Overtypen komt bovenop het werk in de zorg.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1.3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Er is eerst een proefoverzet. Wij controleren aantallen en een steekproef voordat de echte overzet plaatsvindt.</w:t>
            </w:r>
          </w:p>
          <w:p>
            <w:r>
              <w:rPr>
                <w:color w:val="555F66"/>
                <w:sz w:val="19"/>
              </w:rPr>
              <w:t>Fouten vindt u liever vóór de start dan erna.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1.4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prijs van de migratie staat vooraf vast, of er is een bovengrens.</w:t>
            </w:r>
          </w:p>
          <w:p>
            <w:r>
              <w:rPr>
                <w:color w:val="555F66"/>
                <w:sz w:val="19"/>
              </w:rPr>
              <w:t>Zonder vaste prijs of bovengrens draagt u het risico van uitloop.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1.5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zegt vooraf wat wij zelf moeten doen en hoeveel tijd dat ongeveer kost (projectleider, sleutelgebruikers, controle).</w:t>
            </w:r>
          </w:p>
          <w:p>
            <w:r>
              <w:rPr>
                <w:color w:val="555F66"/>
                <w:sz w:val="19"/>
              </w:rPr>
              <w:t>De eigen inzet is de kostenpost die het vaakst wordt onderschat.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</w:tbl>
    <w:p>
      <w:pPr>
        <w:pStyle w:val="Heading1"/>
      </w:pPr>
      <w:r>
        <w:t>2. Declaraties rond de overstap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680"/>
            <w:shd w:val="clear" w:color="auto" w:fill="E6F2F1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5102"/>
            <w:shd w:val="clear" w:color="auto" w:fill="E6F2F1"/>
          </w:tcPr>
          <w:p>
            <w:r/>
            <w:r>
              <w:rPr>
                <w:b/>
              </w:rPr>
              <w:t>Eis en waarom</w:t>
            </w:r>
          </w:p>
        </w:tc>
        <w:tc>
          <w:tcPr>
            <w:tcW w:type="dxa" w:w="1304"/>
            <w:shd w:val="clear" w:color="auto" w:fill="E6F2F1"/>
          </w:tcPr>
          <w:p>
            <w:r/>
            <w:r>
              <w:rPr>
                <w:b/>
              </w:rPr>
              <w:t>Voldoet</w:t>
            </w:r>
          </w:p>
        </w:tc>
        <w:tc>
          <w:tcPr>
            <w:tcW w:type="dxa" w:w="2551"/>
            <w:shd w:val="clear" w:color="auto" w:fill="E6F2F1"/>
          </w:tcPr>
          <w:p>
            <w:r/>
            <w:r>
              <w:rPr>
                <w:b/>
              </w:rPr>
              <w:t>Toelichting leverancier</w:t>
            </w:r>
          </w:p>
        </w:tc>
      </w:tr>
      <w:tr>
        <w:tc>
          <w:tcPr>
            <w:tcW w:type="dxa" w:w="680"/>
          </w:tcPr>
          <w:p>
            <w:r>
              <w:t>2.1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Per financier is vooraf afgesproken tot welke periode het oude pakket declareert en vanaf welke periode het nieuwe.</w:t>
            </w:r>
          </w:p>
          <w:p>
            <w:r>
              <w:rPr>
                <w:color w:val="555F66"/>
                <w:sz w:val="19"/>
              </w:rPr>
              <w:t>Zo valt er geen periode tussen twee pakketten in, en wordt er niets dubbel gedeclareerd.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2.2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Lopende toewijzingen van gemeenten en het zorgkantoor gaan mee, of de leverancier beschrijft hoe ze opnieuw worden opgevraagd.</w:t>
            </w:r>
          </w:p>
          <w:p>
            <w:r>
              <w:rPr>
                <w:color w:val="555F66"/>
                <w:sz w:val="19"/>
              </w:rPr>
              <w:t>Zonder toewijzing kunt u in het nieuwe pakket niet declareren.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2.3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Het nieuwe pakket ondersteunt de berichten die wij gebruiken, met de versie erbij.</w:t>
            </w:r>
          </w:p>
          <w:p>
            <w:r>
              <w:rPr>
                <w:color w:val="555F66"/>
                <w:sz w:val="19"/>
              </w:rPr>
              <w:t>Vraag per stroom naar de versie en of het bericht wordt getoetst aan het officiële schema.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2.4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zegt of declaraties rechtstreeks worden verstuurd of met de hand worden aangeleverd (bijvoorbeeld via het VECOZO-portaal).</w:t>
            </w:r>
          </w:p>
          <w:p>
            <w:r>
              <w:rPr>
                <w:color w:val="555F66"/>
                <w:sz w:val="19"/>
              </w:rPr>
              <w:t>Met de hand aanleveren vraagt tijd van de administratie; dat hoort in uw planning.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2.5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Het oude pakket blijft beschikbaar tot de laatste retourberichten zijn verwerkt.</w:t>
            </w:r>
          </w:p>
          <w:p>
            <w:r>
              <w:rPr>
                <w:color w:val="555F66"/>
                <w:sz w:val="19"/>
              </w:rPr>
              <w:t>Correcties en afwijzingen komen soms maanden later.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</w:tbl>
    <w:p>
      <w:pPr>
        <w:pStyle w:val="Heading1"/>
      </w:pPr>
      <w:r>
        <w:t>3. Het oude dossier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680"/>
            <w:shd w:val="clear" w:color="auto" w:fill="E6F2F1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5102"/>
            <w:shd w:val="clear" w:color="auto" w:fill="E6F2F1"/>
          </w:tcPr>
          <w:p>
            <w:r/>
            <w:r>
              <w:rPr>
                <w:b/>
              </w:rPr>
              <w:t>Eis en waarom</w:t>
            </w:r>
          </w:p>
        </w:tc>
        <w:tc>
          <w:tcPr>
            <w:tcW w:type="dxa" w:w="1304"/>
            <w:shd w:val="clear" w:color="auto" w:fill="E6F2F1"/>
          </w:tcPr>
          <w:p>
            <w:r/>
            <w:r>
              <w:rPr>
                <w:b/>
              </w:rPr>
              <w:t>Voldoet</w:t>
            </w:r>
          </w:p>
        </w:tc>
        <w:tc>
          <w:tcPr>
            <w:tcW w:type="dxa" w:w="2551"/>
            <w:shd w:val="clear" w:color="auto" w:fill="E6F2F1"/>
          </w:tcPr>
          <w:p>
            <w:r/>
            <w:r>
              <w:rPr>
                <w:b/>
              </w:rPr>
              <w:t>Toelichting leverancier</w:t>
            </w:r>
          </w:p>
        </w:tc>
      </w:tr>
      <w:tr>
        <w:tc>
          <w:tcPr>
            <w:tcW w:type="dxa" w:w="680"/>
          </w:tcPr>
          <w:p>
            <w:r>
              <w:t>3.1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Vóór de opzegging van het oude pakket is vastgelegd hoe oude dossiers leesbaar blijven zolang de bewaartermijn loopt.</w:t>
            </w:r>
          </w:p>
          <w:p>
            <w:r>
              <w:rPr>
                <w:color w:val="555F66"/>
                <w:sz w:val="19"/>
              </w:rPr>
              <w:t>Een dossier bewaart u in de regel 20 jaar (Wgbo). Dat geldt ook als de leverancier stopt.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3.2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export van het oude pakket en de logging (wie heeft wat ingezien) zijn veilig bewaard voordat het oude contract eindigt.</w:t>
            </w:r>
          </w:p>
          <w:p>
            <w:r>
              <w:rPr>
                <w:color w:val="555F66"/>
                <w:sz w:val="19"/>
              </w:rPr>
              <w:t>Na het einde van het contract is dat duurder, en soms niet meer mogelijk.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</w:tbl>
    <w:p>
      <w:pPr>
        <w:pStyle w:val="Heading1"/>
      </w:pPr>
      <w:r>
        <w:t>4. Exit en dataportabiliteit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680"/>
            <w:shd w:val="clear" w:color="auto" w:fill="E6F2F1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5102"/>
            <w:shd w:val="clear" w:color="auto" w:fill="E6F2F1"/>
          </w:tcPr>
          <w:p>
            <w:r/>
            <w:r>
              <w:rPr>
                <w:b/>
              </w:rPr>
              <w:t>Eis en waarom</w:t>
            </w:r>
          </w:p>
        </w:tc>
        <w:tc>
          <w:tcPr>
            <w:tcW w:type="dxa" w:w="1304"/>
            <w:shd w:val="clear" w:color="auto" w:fill="E6F2F1"/>
          </w:tcPr>
          <w:p>
            <w:r/>
            <w:r>
              <w:rPr>
                <w:b/>
              </w:rPr>
              <w:t>Voldoet</w:t>
            </w:r>
          </w:p>
        </w:tc>
        <w:tc>
          <w:tcPr>
            <w:tcW w:type="dxa" w:w="2551"/>
            <w:shd w:val="clear" w:color="auto" w:fill="E6F2F1"/>
          </w:tcPr>
          <w:p>
            <w:r/>
            <w:r>
              <w:rPr>
                <w:b/>
              </w:rPr>
              <w:t>Toelichting leverancier</w:t>
            </w:r>
          </w:p>
        </w:tc>
      </w:tr>
      <w:tr>
        <w:tc>
          <w:tcPr>
            <w:tcW w:type="dxa" w:w="680"/>
          </w:tcPr>
          <w:p>
            <w:r>
              <w:t>4.1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Bij vertrek krijgen wij al onze gegevens, inclusief bestanden, in een gestructureerd, gangbaar en machineleesbaar formaat.</w:t>
            </w:r>
          </w:p>
          <w:p>
            <w:r>
              <w:rPr>
                <w:color w:val="555F66"/>
                <w:sz w:val="19"/>
              </w:rPr>
              <w:t>De Dataverordening vraagt dat; leg het ook in het contract vast.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4.2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Het contract noemt de termijnen bij vertrek: de opzegtermijn, de overgangsperiode waarin de dienst doorloopt, en hoe lang wij de gegevens kunnen ophalen.</w:t>
            </w:r>
          </w:p>
          <w:p>
            <w:r>
              <w:rPr>
                <w:color w:val="555F66"/>
                <w:sz w:val="19"/>
              </w:rPr>
              <w:t>Volgens de Dataverordening hoogstens 2 maanden opzegtermijn, hoogstens 30 dagen overgang en minstens 30 dagen om gegevens op te halen.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4.3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Het contract zegt welke gegevens wel en niet overdraagbaar zijn, en welke technische beperkingen bekend zijn.</w:t>
            </w:r>
          </w:p>
          <w:p>
            <w:r>
              <w:rPr>
                <w:color w:val="555F66"/>
                <w:sz w:val="19"/>
              </w:rPr>
              <w:t>De Dataverordening vraagt een uitputtende beschrijving.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4.4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Er zijn geen kosten voor de overstap of de export. Bij vroegtijdig opzeggen staat in het contract welke vergoeding geldt, als die er is.</w:t>
            </w:r>
          </w:p>
          <w:p>
            <w:r>
              <w:rPr>
                <w:color w:val="555F66"/>
                <w:sz w:val="19"/>
              </w:rPr>
              <w:t>Vanaf 12-01-2027 mag een aanbieder geen overstapkosten meer rekenen.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4.5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Het BSN gaat bij vertrek zo mee dat het volgende pakket cliënten kan herkennen en kan declareren, via een beveiligde route.</w:t>
            </w:r>
          </w:p>
          <w:p>
            <w:r>
              <w:rPr>
                <w:color w:val="555F66"/>
                <w:sz w:val="19"/>
              </w:rPr>
              <w:t>Een export met alleen een deel van het BSN is voor declareren niet genoeg.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4.6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Na afloop wist de leverancier al onze gegevens en levert een vernietigingsverklaring.</w:t>
            </w:r>
          </w:p>
          <w:p>
            <w:r>
              <w:rPr>
                <w:color w:val="555F66"/>
                <w:sz w:val="19"/>
              </w:rPr>
              <w:t>U blijft verwerkingsverantwoordelijke, ook voor wat bij de oude leverancier staat.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</w:tbl>
    <w:p>
      <w:pPr>
        <w:pStyle w:val="Heading1"/>
      </w:pPr>
      <w:r>
        <w:t>5. Informatiebeveiliging en privacy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680"/>
            <w:shd w:val="clear" w:color="auto" w:fill="E6F2F1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5102"/>
            <w:shd w:val="clear" w:color="auto" w:fill="E6F2F1"/>
          </w:tcPr>
          <w:p>
            <w:r/>
            <w:r>
              <w:rPr>
                <w:b/>
              </w:rPr>
              <w:t>Eis en waarom</w:t>
            </w:r>
          </w:p>
        </w:tc>
        <w:tc>
          <w:tcPr>
            <w:tcW w:type="dxa" w:w="1304"/>
            <w:shd w:val="clear" w:color="auto" w:fill="E6F2F1"/>
          </w:tcPr>
          <w:p>
            <w:r/>
            <w:r>
              <w:rPr>
                <w:b/>
              </w:rPr>
              <w:t>Voldoet</w:t>
            </w:r>
          </w:p>
        </w:tc>
        <w:tc>
          <w:tcPr>
            <w:tcW w:type="dxa" w:w="2551"/>
            <w:shd w:val="clear" w:color="auto" w:fill="E6F2F1"/>
          </w:tcPr>
          <w:p>
            <w:r/>
            <w:r>
              <w:rPr>
                <w:b/>
              </w:rPr>
              <w:t>Toelichting leverancier</w:t>
            </w:r>
          </w:p>
        </w:tc>
      </w:tr>
      <w:tr>
        <w:tc>
          <w:tcPr>
            <w:tcW w:type="dxa" w:w="680"/>
          </w:tcPr>
          <w:p>
            <w:r>
              <w:t>5.1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toont de stand van NEN 7510 aan: een certificaat, of de geplande audit met datum en het bewijs per maatregel.</w:t>
            </w:r>
          </w:p>
          <w:p>
            <w:r>
              <w:rPr>
                <w:color w:val="555F66"/>
                <w:sz w:val="19"/>
              </w:rPr>
              <w:t>Bepaal vooraf of een certificaat voor uw organisatie een harde eis is.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5.2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Er is een verwerkersovereenkomst met een lijst van subverwerkers en waar de gegevens staan.</w:t>
            </w:r>
          </w:p>
          <w:p>
            <w:r>
              <w:rPr>
                <w:color w:val="555F66"/>
                <w:sz w:val="19"/>
              </w:rPr>
              <w:t>Nodig vóór er een cliëntgegeven wordt overgezet.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5.3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Het BSN is apart beveiligd, bijvoorbeeld versleuteld op veldniveau.</w:t>
            </w:r>
          </w:p>
          <w:p>
            <w:r>
              <w:rPr>
                <w:color w:val="555F66"/>
                <w:sz w:val="19"/>
              </w:rPr>
              <w:t>Het BSN valt onder art. 87 AVG en art. 46 UAVG.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5.4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Wie een dossier inziet, wordt vastgelegd volgens NEN 7513, en wij kunnen dat logboek inzien en exporteren.</w:t>
            </w:r>
          </w:p>
          <w:p>
            <w:r>
              <w:rPr>
                <w:color w:val="555F66"/>
                <w:sz w:val="19"/>
              </w:rPr>
              <w:t>Dat vraagt u voor uw eigen controle en bij een klacht of incident.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5.5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Tweestapsverificatie is verplicht te stellen voor iedereen die bij cliëntgegevens kan.</w:t>
            </w:r>
          </w:p>
          <w:p>
            <w:r>
              <w:rPr>
                <w:color w:val="555F66"/>
                <w:sz w:val="19"/>
              </w:rPr>
              <w:t>Wachtwoorden alleen zijn onvoldoende voor gegevens over gezondheid.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5.6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levert wat wij nodig hebben voor onze DPIA: welke gegevens, waar ze heen gaan, beveiliging, subverwerkers en bewaartermijnen.</w:t>
            </w:r>
          </w:p>
          <w:p>
            <w:r>
              <w:rPr>
                <w:color w:val="555F66"/>
                <w:sz w:val="19"/>
              </w:rPr>
              <w:t>De DPIA maakt u zelf; de leverancier levert de bouwstenen.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</w:tbl>
    <w:p>
      <w:pPr>
        <w:pStyle w:val="Heading1"/>
      </w:pPr>
      <w:r>
        <w:t>6. Continuïteit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680"/>
            <w:shd w:val="clear" w:color="auto" w:fill="E6F2F1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5102"/>
            <w:shd w:val="clear" w:color="auto" w:fill="E6F2F1"/>
          </w:tcPr>
          <w:p>
            <w:r/>
            <w:r>
              <w:rPr>
                <w:b/>
              </w:rPr>
              <w:t>Eis en waarom</w:t>
            </w:r>
          </w:p>
        </w:tc>
        <w:tc>
          <w:tcPr>
            <w:tcW w:type="dxa" w:w="1304"/>
            <w:shd w:val="clear" w:color="auto" w:fill="E6F2F1"/>
          </w:tcPr>
          <w:p>
            <w:r/>
            <w:r>
              <w:rPr>
                <w:b/>
              </w:rPr>
              <w:t>Voldoet</w:t>
            </w:r>
          </w:p>
        </w:tc>
        <w:tc>
          <w:tcPr>
            <w:tcW w:type="dxa" w:w="2551"/>
            <w:shd w:val="clear" w:color="auto" w:fill="E6F2F1"/>
          </w:tcPr>
          <w:p>
            <w:r/>
            <w:r>
              <w:rPr>
                <w:b/>
              </w:rPr>
              <w:t>Toelichting leverancier</w:t>
            </w:r>
          </w:p>
        </w:tc>
      </w:tr>
      <w:tr>
        <w:tc>
          <w:tcPr>
            <w:tcW w:type="dxa" w:w="680"/>
          </w:tcPr>
          <w:p>
            <w:r>
              <w:t>6.1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beschrijft wat er gebeurt als hij stopt, failliet gaat of wordt overgenomen: hoe lang de dienst doorloopt en hoe wij bij onze gegevens komen.</w:t>
            </w:r>
          </w:p>
          <w:p>
            <w:r>
              <w:rPr>
                <w:color w:val="555F66"/>
                <w:sz w:val="19"/>
              </w:rPr>
              <w:t>Bij een online dienst beschermt alleen broncode in bewaring u niet tegen het wegvallen van hosting en gegevens.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6.2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Er is een noodprocedure voor als het pakket niet bereikbaar is, en die wordt vóór de start geoefend.</w:t>
            </w:r>
          </w:p>
          <w:p>
            <w:r>
              <w:rPr>
                <w:color w:val="555F66"/>
                <w:sz w:val="19"/>
              </w:rPr>
              <w:t>Zorg moet doorgaan, ook als het systeem uitvalt.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6.3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geeft referenties, en wij mogen zelf kiezen wie wij bellen.</w:t>
            </w:r>
          </w:p>
          <w:p>
            <w:r>
              <w:rPr>
                <w:color w:val="555F66"/>
                <w:sz w:val="19"/>
              </w:rPr>
              <w:t>Een leverancier noemt anders vaak alleen zijn tevredenste klanten.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6.4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leverancier noemt de versie van het platform waarop het pakket draait en tot wanneer die versie beveiligingsupdates krijgt, en meldt ons ruim vooraf wanneer hij overstapt.</w:t>
            </w:r>
          </w:p>
          <w:p>
            <w:r>
              <w:rPr>
                <w:color w:val="555F66"/>
                <w:sz w:val="19"/>
              </w:rPr>
              <w:t>De zorgplicht van de Cyberbeveiligingswet noemt het onderhouden van systemen en het omgaan met kwetsbaarheden. Een versie zonder updates van de maker krijgt bij een nieuw lek geen oplossing.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</w:tbl>
    <w:p>
      <w:pPr>
        <w:pStyle w:val="Heading1"/>
      </w:pPr>
      <w:r>
        <w:t>7. Contract en prijs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680"/>
            <w:shd w:val="clear" w:color="auto" w:fill="E6F2F1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5102"/>
            <w:shd w:val="clear" w:color="auto" w:fill="E6F2F1"/>
          </w:tcPr>
          <w:p>
            <w:r/>
            <w:r>
              <w:rPr>
                <w:b/>
              </w:rPr>
              <w:t>Eis en waarom</w:t>
            </w:r>
          </w:p>
        </w:tc>
        <w:tc>
          <w:tcPr>
            <w:tcW w:type="dxa" w:w="1304"/>
            <w:shd w:val="clear" w:color="auto" w:fill="E6F2F1"/>
          </w:tcPr>
          <w:p>
            <w:r/>
            <w:r>
              <w:rPr>
                <w:b/>
              </w:rPr>
              <w:t>Voldoet</w:t>
            </w:r>
          </w:p>
        </w:tc>
        <w:tc>
          <w:tcPr>
            <w:tcW w:type="dxa" w:w="2551"/>
            <w:shd w:val="clear" w:color="auto" w:fill="E6F2F1"/>
          </w:tcPr>
          <w:p>
            <w:r/>
            <w:r>
              <w:rPr>
                <w:b/>
              </w:rPr>
              <w:t>Toelichting leverancier</w:t>
            </w:r>
          </w:p>
        </w:tc>
      </w:tr>
      <w:tr>
        <w:tc>
          <w:tcPr>
            <w:tcW w:type="dxa" w:w="680"/>
          </w:tcPr>
          <w:p>
            <w:r>
              <w:t>7.1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De prijs van abonnement, implementatie, migratie, training en koppelingen staat vooraf in het voorstel, per eenheid (bijvoorbeeld per medewerker of per cliënt).</w:t>
            </w:r>
          </w:p>
          <w:p>
            <w:r>
              <w:rPr>
                <w:color w:val="555F66"/>
                <w:sz w:val="19"/>
              </w:rPr>
              <w:t>Leveranciers rekenen in verschillende eenheden; vergelijk pas als u ze hebt omgerekend.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7.2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Het contract noemt hoe prijzen worden geïndexeerd, met een maximum.</w:t>
            </w:r>
          </w:p>
          <w:p>
            <w:r>
              <w:rPr>
                <w:color w:val="555F66"/>
                <w:sz w:val="19"/>
              </w:rPr>
              <w:t>Over meerdere jaren telt de indexering zwaar mee.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7.3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Er is een regeling voor de periode waarin het oude contract nog doorloopt.</w:t>
            </w:r>
          </w:p>
          <w:p>
            <w:r>
              <w:rPr>
                <w:color w:val="555F66"/>
                <w:sz w:val="19"/>
              </w:rPr>
              <w:t>Zo betaalt u niet maandenlang twee pakketten.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</w:tbl>
    <w:p>
      <w:pPr>
        <w:pStyle w:val="Heading1"/>
      </w:pPr>
      <w:r>
        <w:t>8. Implementatie en gebruik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680"/>
            <w:shd w:val="clear" w:color="auto" w:fill="E6F2F1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5102"/>
            <w:shd w:val="clear" w:color="auto" w:fill="E6F2F1"/>
          </w:tcPr>
          <w:p>
            <w:r/>
            <w:r>
              <w:rPr>
                <w:b/>
              </w:rPr>
              <w:t>Eis en waarom</w:t>
            </w:r>
          </w:p>
        </w:tc>
        <w:tc>
          <w:tcPr>
            <w:tcW w:type="dxa" w:w="1304"/>
            <w:shd w:val="clear" w:color="auto" w:fill="E6F2F1"/>
          </w:tcPr>
          <w:p>
            <w:r/>
            <w:r>
              <w:rPr>
                <w:b/>
              </w:rPr>
              <w:t>Voldoet</w:t>
            </w:r>
          </w:p>
        </w:tc>
        <w:tc>
          <w:tcPr>
            <w:tcW w:type="dxa" w:w="2551"/>
            <w:shd w:val="clear" w:color="auto" w:fill="E6F2F1"/>
          </w:tcPr>
          <w:p>
            <w:r/>
            <w:r>
              <w:rPr>
                <w:b/>
              </w:rPr>
              <w:t>Toelichting leverancier</w:t>
            </w:r>
          </w:p>
        </w:tc>
      </w:tr>
      <w:tr>
        <w:tc>
          <w:tcPr>
            <w:tcW w:type="dxa" w:w="680"/>
          </w:tcPr>
          <w:p>
            <w:r>
              <w:t>8.1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Er is een plan in fasen, met per fase wie wat doet en wie akkoord geeft.</w:t>
            </w:r>
          </w:p>
          <w:p>
            <w:r>
              <w:rPr>
                <w:color w:val="555F66"/>
                <w:sz w:val="19"/>
              </w:rPr>
              <w:t>Een planning alleen zegt niet wie er verantwoordelijk is.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8.2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Sleutelgebruikers kunnen vóór de start proefdraaien met verzonnen gegevens, terwijl het huidige pakket doorloopt.</w:t>
            </w:r>
          </w:p>
          <w:p>
            <w:r>
              <w:rPr>
                <w:color w:val="555F66"/>
                <w:sz w:val="19"/>
              </w:rPr>
              <w:t>Zo leren uw mensen het werk kennen zonder risico voor cliënten.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8.3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Training past bij mensen met kleine contracten: op locatie, in korte delen of met video, op momenten die wij zelf plannen.</w:t>
            </w:r>
          </w:p>
          <w:p>
            <w:r>
              <w:rPr>
                <w:color w:val="555F66"/>
                <w:sz w:val="19"/>
              </w:rPr>
              <w:t>Niet iedereen kan naar een klassikale training.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8.4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Zorgmedewerkers kunnen werken zonder bereik, en wat ze vastleggen gaat niet verloren.</w:t>
            </w:r>
          </w:p>
          <w:p>
            <w:r>
              <w:rPr>
                <w:color w:val="555F66"/>
                <w:sz w:val="19"/>
              </w:rPr>
              <w:t>In de wijk en in sommige gebouwen is het bereik slecht.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  <w:tr>
        <w:tc>
          <w:tcPr>
            <w:tcW w:type="dxa" w:w="680"/>
          </w:tcPr>
          <w:p>
            <w:r>
              <w:t>8.5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Er is één vaste contactpersoon bij de leverancier, van de start tot na de livegang.</w:t>
            </w:r>
          </w:p>
          <w:p>
            <w:r>
              <w:rPr>
                <w:color w:val="555F66"/>
                <w:sz w:val="19"/>
              </w:rPr>
              <w:t>Wisselende contactpersonen kosten u uitleg en tijd.</w:t>
            </w:r>
          </w:p>
        </w:tc>
        <w:tc>
          <w:tcPr>
            <w:tcW w:type="dxa" w:w="1304"/>
          </w:tcPr>
          <w:p>
            <w:r>
              <w:t>☐ ja</w:t>
              <w:br/>
              <w:t>☐ deels</w:t>
              <w:br/>
              <w:t>☐ nee</w:t>
            </w:r>
          </w:p>
        </w:tc>
        <w:tc>
          <w:tcPr>
            <w:tcW w:type="dxa" w:w="2551"/>
          </w:tcPr>
          <w:p/>
        </w:tc>
      </w:tr>
    </w:tbl>
    <w:p>
      <w:pPr>
        <w:pStyle w:val="Heading2"/>
      </w:pPr>
      <w:r>
        <w:t>Bronnen</w:t>
      </w:r>
    </w:p>
    <w:p>
      <w:pPr>
        <w:pStyle w:val="ListBullet"/>
      </w:pPr>
      <w:r>
        <w:t>ACM, Leidraad overstappen tussen clouddiensten (Dataverordening) (19-10-2026): https://www.acm.nl/nl/publicaties/acm-publiceert-leidraad-over-overstappen-tussen-clouddiensten</w:t>
      </w:r>
    </w:p>
    <w:p>
      <w:pPr>
        <w:pStyle w:val="ListBullet"/>
      </w:pPr>
      <w:r>
        <w:t>Verordening (EU) 2023/2854 (Dataverordening), art. 23-31 (geldt sinds 12-09-2025): https://eur-lex.europa.eu/legal-content/NL/TXT/?uri=CELEX:32023R2854</w:t>
      </w:r>
    </w:p>
    <w:p>
      <w:pPr>
        <w:pStyle w:val="ListBullet"/>
      </w:pPr>
      <w:r>
        <w:t>M&amp;I/Partners, ECD-inventarisatie 2026 (10-09-2026): https://mxi.nl/kennis/786/ecd-inventarisatie-2026-gehandicaptenzorg-en-ouderenzorg</w:t>
      </w:r>
    </w:p>
    <w:p>
      <w:r>
        <w:t>De termijnen bij vertrek komen uit de Dataverordening (Verordening (EU) 2023/2854), zoals de ACM die uitlegt. Of die regels voor een contract gelden, hangt af van het soort dienst; laat dat toetsen.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van eisen voor een overstap</dc:title>
  <dc:subject/>
  <dc:creator>Curanta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nl-NL</dc:language>
</cp:coreProperties>
</file>